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《宿州市科技计划项目管理办法（试行）》</w:t>
      </w:r>
      <w:r>
        <w:rPr>
          <w:rFonts w:hint="eastAsia" w:ascii="方正小标宋简体" w:hAnsi="方正小标宋简体" w:eastAsia="方正小标宋简体" w:cs="方正小标宋简体"/>
          <w:sz w:val="44"/>
          <w:szCs w:val="44"/>
          <w:lang w:val="en-US" w:eastAsia="zh-CN"/>
        </w:rPr>
        <w:t>起草说明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党的二十大精神和习近平总书记关于科技创新的重要论述，按照《党和国家机构改革方案》有关精神，坚持“四个面向”，发挥新型举国体制优势，开展有组织的科研，根据国家、省市有关规定，结合实际，起草《宿州市科技计划项目管理办法（试行）》（以下简称《办法》），现将《办法》内容简要汇报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一、起草背景及原因</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2023年4月11日，省科技厅印发《安徽省科技计划项目管理办法（试行）》（皖科党〔2023〕3 号），对科技计划项目管理提出了五个原则：一是坚持体制机制改革，创优营商环境。二是坚持有组织的科研攻关，集中力量办大事。三是坚持问题导向，提升科技攻关效能。四要坚持企业科技创新主体地位，提升创新活力。五要坚持加大多元化科技投入，形成科技投入新格局。为贯彻落实省厅文件精神，规范和加强我市科技计划项目管理，提高项目管理效率、实施绩效和科技投入效能，特制定适用于我市的科技计划项目管理办法。</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二、《办法》的整体依据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本《办法》以《安徽省科技计划项目管理办法（试行）》(皖科党〔2023〕3 号)和《关于进一步优化提升惠企政策 促进经济平稳健康运行若干措施》（宿政发〔2023〕2号）等有关政策文件为依据，结合工作实际，形成《办法》。</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三、《办法》的具体内容</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第一章“总则”。</w:t>
      </w:r>
      <w:r>
        <w:rPr>
          <w:rFonts w:hint="eastAsia" w:ascii="仿宋" w:hAnsi="仿宋" w:eastAsia="仿宋" w:cs="仿宋"/>
          <w:sz w:val="32"/>
          <w:szCs w:val="32"/>
          <w:lang w:val="en-US" w:eastAsia="zh-CN"/>
        </w:rPr>
        <w:t>介绍了《办法》制定的主要依据以及主要目的，明确了宿州市科技计划项目的定义与主要类别。</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章“指南（榜单）凝练”。</w:t>
      </w:r>
      <w:r>
        <w:rPr>
          <w:rFonts w:hint="eastAsia" w:ascii="仿宋" w:hAnsi="仿宋" w:eastAsia="仿宋" w:cs="仿宋"/>
          <w:sz w:val="32"/>
          <w:szCs w:val="32"/>
          <w:lang w:val="en-US" w:eastAsia="zh-CN"/>
        </w:rPr>
        <w:t>确定了政府定方向和企业出题目相结合的项目指南（榜单）征集机制，明确了编制与发布指南（榜单）的具体要求</w:t>
      </w:r>
      <w:r>
        <w:rPr>
          <w:rFonts w:hint="default" w:ascii="仿宋" w:hAnsi="仿宋" w:eastAsia="仿宋" w:cs="仿宋"/>
          <w:sz w:val="32"/>
          <w:szCs w:val="32"/>
          <w:lang w:val="en-US" w:eastAsia="zh-CN"/>
        </w:rPr>
        <w:t>。</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三</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项目申报</w:t>
      </w:r>
      <w:r>
        <w:rPr>
          <w:rFonts w:hint="default" w:ascii="仿宋" w:hAnsi="仿宋" w:eastAsia="仿宋" w:cs="仿宋"/>
          <w:b/>
          <w:bCs/>
          <w:sz w:val="32"/>
          <w:szCs w:val="32"/>
          <w:lang w:val="en-US" w:eastAsia="zh-CN"/>
        </w:rPr>
        <w:t>”。</w:t>
      </w:r>
      <w:r>
        <w:rPr>
          <w:rFonts w:hint="eastAsia" w:ascii="仿宋" w:hAnsi="仿宋" w:eastAsia="仿宋" w:cs="仿宋"/>
          <w:sz w:val="32"/>
          <w:szCs w:val="32"/>
          <w:lang w:val="en-US" w:eastAsia="zh-CN"/>
        </w:rPr>
        <w:t>项目由归口管理部门负责对申报项目进行初审和推荐，原则上实行不限额申报，并对部分项目类型申报条件进行了说明。</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四</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项目评审</w:t>
      </w:r>
      <w:r>
        <w:rPr>
          <w:rFonts w:hint="default" w:ascii="仿宋" w:hAnsi="仿宋" w:eastAsia="仿宋" w:cs="仿宋"/>
          <w:b/>
          <w:bCs/>
          <w:sz w:val="32"/>
          <w:szCs w:val="32"/>
          <w:lang w:val="en-US" w:eastAsia="zh-CN"/>
        </w:rPr>
        <w:t>”。</w:t>
      </w:r>
      <w:r>
        <w:rPr>
          <w:rFonts w:hint="eastAsia" w:ascii="仿宋" w:hAnsi="仿宋" w:eastAsia="仿宋" w:cs="仿宋"/>
          <w:sz w:val="32"/>
          <w:szCs w:val="32"/>
          <w:lang w:val="en-US" w:eastAsia="zh-CN"/>
        </w:rPr>
        <w:t>项目采取形式审查、现场勘查、专家评审、行政决策相结合的方式进行评审，并对每项流程的责任部门与评审方式进行了说明。</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五</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项目立项</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明确了项目立项的程序，并对诚信审查、公示等环节进行了说明。提出绿色立项通道，对绿色立项的要求与方式进行说明。</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项目管理</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针对项目实施方式、支持方式、合同签订、合同实施等内容进行了说明，并对项目的撤销、终止、结题三类情况进行了区分，明确各类情况的责任处理方式。</w:t>
      </w:r>
    </w:p>
    <w:p>
      <w:pPr>
        <w:ind w:firstLine="643" w:firstLineChars="200"/>
        <w:rPr>
          <w:rFonts w:hint="eastAsia"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项目验收</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明确了项目验收的时间要求与验收方式，并对“验收通过”、“验收不通过”、“结题”三种验收结果的处理方法进行了说明。</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资金配置</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项目支持和鼓励多元化投入，坚持提升科技投入效能，减少项目支持数量，增加项目支持强度，坚持绩效导向。</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监督管理</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建立项目监督机制和信用管理机制，由市科技局会同有关部门对项目申报、评审、立项、实施、验收与监督等工作中相关主体的行为规范、工作纪律、履职尽责情况等进行监督，并对违规处理方式进行了说明。</w:t>
      </w:r>
    </w:p>
    <w:p>
      <w:pPr>
        <w:ind w:firstLine="643" w:firstLineChars="200"/>
        <w:rPr>
          <w:rFonts w:hint="default"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九</w:t>
      </w:r>
      <w:r>
        <w:rPr>
          <w:rFonts w:hint="default" w:ascii="仿宋" w:hAnsi="仿宋" w:eastAsia="仿宋" w:cs="仿宋"/>
          <w:b/>
          <w:bCs/>
          <w:sz w:val="32"/>
          <w:szCs w:val="32"/>
          <w:lang w:val="en-US" w:eastAsia="zh-CN"/>
        </w:rPr>
        <w:t>章“</w:t>
      </w:r>
      <w:r>
        <w:rPr>
          <w:rFonts w:hint="eastAsia" w:ascii="仿宋" w:hAnsi="仿宋" w:eastAsia="仿宋" w:cs="仿宋"/>
          <w:b/>
          <w:bCs/>
          <w:sz w:val="32"/>
          <w:szCs w:val="32"/>
          <w:lang w:val="en-US" w:eastAsia="zh-CN"/>
        </w:rPr>
        <w:t>管理职责</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对市科技局、项目归口管理部门、项目承担单位及项目主持人、评审专家的职责任务进行了说明。</w:t>
      </w:r>
    </w:p>
    <w:p>
      <w:pPr>
        <w:ind w:firstLine="643" w:firstLineChars="200"/>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w:t>
      </w:r>
      <w:r>
        <w:rPr>
          <w:rFonts w:hint="eastAsia" w:ascii="仿宋" w:hAnsi="仿宋" w:eastAsia="仿宋" w:cs="仿宋"/>
          <w:b/>
          <w:bCs/>
          <w:sz w:val="32"/>
          <w:szCs w:val="32"/>
          <w:lang w:val="en-US" w:eastAsia="zh-CN"/>
        </w:rPr>
        <w:t>十</w:t>
      </w:r>
      <w:r>
        <w:rPr>
          <w:rFonts w:hint="default" w:ascii="仿宋" w:hAnsi="仿宋" w:eastAsia="仿宋" w:cs="仿宋"/>
          <w:b/>
          <w:bCs/>
          <w:sz w:val="32"/>
          <w:szCs w:val="32"/>
          <w:lang w:val="en-US" w:eastAsia="zh-CN"/>
        </w:rPr>
        <w:t>章“附则”。</w:t>
      </w:r>
      <w:r>
        <w:rPr>
          <w:rFonts w:hint="default" w:ascii="仿宋" w:hAnsi="仿宋" w:eastAsia="仿宋" w:cs="仿宋"/>
          <w:sz w:val="32"/>
          <w:szCs w:val="32"/>
          <w:lang w:val="en-US" w:eastAsia="zh-CN"/>
        </w:rPr>
        <w:t>明确了《</w:t>
      </w:r>
      <w:r>
        <w:rPr>
          <w:rFonts w:hint="eastAsia" w:ascii="仿宋" w:hAnsi="仿宋" w:eastAsia="仿宋" w:cs="仿宋"/>
          <w:sz w:val="32"/>
          <w:szCs w:val="32"/>
          <w:lang w:val="en-US" w:eastAsia="zh-CN"/>
        </w:rPr>
        <w:t>办法</w:t>
      </w:r>
      <w:r>
        <w:rPr>
          <w:rFonts w:hint="default" w:ascii="仿宋" w:hAnsi="仿宋" w:eastAsia="仿宋" w:cs="仿宋"/>
          <w:sz w:val="32"/>
          <w:szCs w:val="32"/>
          <w:lang w:val="en-US" w:eastAsia="zh-CN"/>
        </w:rPr>
        <w:t>》的执行时间和执行方式</w:t>
      </w:r>
    </w:p>
    <w:p>
      <w:pPr>
        <w:wordWrap w:val="0"/>
        <w:ind w:firstLine="640" w:firstLineChars="200"/>
        <w:jc w:val="right"/>
        <w:rPr>
          <w:rFonts w:hint="eastAsia" w:ascii="仿宋" w:hAnsi="仿宋" w:eastAsia="仿宋" w:cs="仿宋"/>
          <w:sz w:val="32"/>
          <w:szCs w:val="32"/>
          <w:lang w:val="en-US" w:eastAsia="zh-CN"/>
        </w:rPr>
      </w:pPr>
    </w:p>
    <w:p>
      <w:pPr>
        <w:wordWrap w:val="0"/>
        <w:ind w:firstLine="640" w:firstLineChars="200"/>
        <w:jc w:val="right"/>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8AF4F9-EF1E-4307-90E1-D6090F417D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6A54D1-F854-417B-AA05-7F460250FB51}"/>
  </w:font>
  <w:font w:name="方正小标宋简体">
    <w:panose1 w:val="02000000000000000000"/>
    <w:charset w:val="86"/>
    <w:family w:val="auto"/>
    <w:pitch w:val="default"/>
    <w:sig w:usb0="00000001" w:usb1="080E0000" w:usb2="00000000" w:usb3="00000000" w:csb0="00040000" w:csb1="00000000"/>
    <w:embedRegular r:id="rId3" w:fontKey="{D4A8C7D6-D2BB-43DC-B4DB-739147DD2B2D}"/>
  </w:font>
  <w:font w:name="仿宋">
    <w:panose1 w:val="02010609060101010101"/>
    <w:charset w:val="86"/>
    <w:family w:val="auto"/>
    <w:pitch w:val="default"/>
    <w:sig w:usb0="800002BF" w:usb1="38CF7CFA" w:usb2="00000016" w:usb3="00000000" w:csb0="00040001" w:csb1="00000000"/>
    <w:embedRegular r:id="rId4" w:fontKey="{93C0AA59-CB65-42F4-BC46-55C63123B3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41BC"/>
    <w:rsid w:val="110A1F26"/>
    <w:rsid w:val="142849A1"/>
    <w:rsid w:val="18662E47"/>
    <w:rsid w:val="258C521D"/>
    <w:rsid w:val="46621785"/>
    <w:rsid w:val="51155195"/>
    <w:rsid w:val="59524040"/>
    <w:rsid w:val="60374ADD"/>
    <w:rsid w:val="78B1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2023-07-19T03:17:00Z</dcterms:created>
  <dc:creator>徐昆鹏</dc:creator>
  <cp:lastModifiedBy>徐昆鹏</cp:lastModifiedBy>
  <dcterms:modified xsi:type="dcterms:W3CDTF">2023-08-11T00:52:45Z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