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10" w:beforeAutospacing="0" w:after="21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i w:val="0"/>
          <w:caps w:val="0"/>
          <w:color w:val="auto"/>
          <w:spacing w:val="0"/>
          <w:sz w:val="44"/>
          <w:szCs w:val="44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10" w:beforeAutospacing="0" w:after="21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i w:val="0"/>
          <w:caps w:val="0"/>
          <w:color w:val="auto"/>
          <w:spacing w:val="0"/>
          <w:sz w:val="44"/>
          <w:szCs w:val="44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10" w:beforeAutospacing="0" w:after="210" w:afterAutospacing="0" w:line="60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i w:val="0"/>
          <w:caps w:val="0"/>
          <w:color w:val="auto"/>
          <w:spacing w:val="0"/>
          <w:sz w:val="44"/>
          <w:szCs w:val="44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10" w:beforeAutospacing="0" w:after="210" w:afterAutospacing="0" w:line="60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i w:val="0"/>
          <w:caps w:val="0"/>
          <w:color w:val="auto"/>
          <w:spacing w:val="0"/>
          <w:sz w:val="44"/>
          <w:szCs w:val="44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10" w:beforeAutospacing="0" w:after="210" w:afterAutospacing="0" w:line="60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i w:val="0"/>
          <w:caps w:val="0"/>
          <w:color w:val="auto"/>
          <w:spacing w:val="0"/>
          <w:sz w:val="44"/>
          <w:szCs w:val="44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10" w:beforeAutospacing="0" w:after="210" w:afterAutospacing="0" w:line="60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i w:val="0"/>
          <w:caps w:val="0"/>
          <w:color w:val="auto"/>
          <w:spacing w:val="0"/>
          <w:sz w:val="44"/>
          <w:szCs w:val="44"/>
          <w:shd w:val="clear" w:fill="FFFFFF"/>
        </w:rPr>
      </w:pP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jc w:val="center"/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  <w:t>宿科高〔</w:t>
      </w:r>
      <w:r>
        <w:rPr>
          <w:rFonts w:ascii="仿宋_GB2312" w:eastAsia="仿宋_GB2312" w:cs="仿宋_GB2312"/>
          <w:kern w:val="2"/>
          <w:sz w:val="32"/>
          <w:szCs w:val="32"/>
          <w:shd w:val="clear" w:color="auto" w:fill="FFFFFF"/>
        </w:rPr>
        <w:t>2019</w:t>
      </w: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  <w:t>〕</w:t>
      </w: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  <w:lang w:val="en-US" w:eastAsia="zh-CN"/>
        </w:rPr>
        <w:t>54</w:t>
      </w: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  <w:t>号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jc w:val="center"/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</w:pP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10" w:beforeAutospacing="0" w:after="21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color w:val="auto"/>
          <w:spacing w:val="0"/>
          <w:sz w:val="44"/>
          <w:szCs w:val="44"/>
          <w:bdr w:val="none" w:color="auto" w:sz="0" w:space="0"/>
          <w:shd w:val="clear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i w:val="0"/>
          <w:caps w:val="0"/>
          <w:color w:val="auto"/>
          <w:spacing w:val="0"/>
          <w:sz w:val="44"/>
          <w:szCs w:val="44"/>
          <w:shd w:val="clear" w:fill="FFFFFF"/>
        </w:rPr>
        <w:t>关于组织开展2019年度省工程技术研究中心验收和绩效评价工作的</w:t>
      </w:r>
      <w:r>
        <w:rPr>
          <w:rFonts w:hint="eastAsia" w:ascii="方正小标宋简体" w:hAnsi="方正小标宋简体" w:eastAsia="方正小标宋简体" w:cs="方正小标宋简体"/>
          <w:b/>
          <w:i w:val="0"/>
          <w:caps w:val="0"/>
          <w:color w:val="auto"/>
          <w:spacing w:val="0"/>
          <w:sz w:val="44"/>
          <w:szCs w:val="44"/>
          <w:shd w:val="clear" w:fill="FFFFFF"/>
          <w:lang w:eastAsia="zh-CN"/>
        </w:rPr>
        <w:t>通知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</w:pP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各县（区）科技局，各园区科技主管部门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，各有关单位：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根据安徽省科技厅《关于组织开展2019年度省工程技术研究中心验收和绩效评价工作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的通知》（皖科基地秘〔2019〕248号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）精神，现就我市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2019年度省工程技术研究中心验收和绩效评价工作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有关事项通知如下：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黑体" w:hAnsi="黑体" w:eastAsia="黑体" w:cs="黑体"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shd w:val="clear" w:color="auto" w:fill="FFFFFF"/>
        </w:rPr>
        <w:t>一、工作范围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3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仿宋_GB2312"/>
          <w:b/>
          <w:bCs/>
          <w:color w:val="auto"/>
          <w:kern w:val="2"/>
          <w:sz w:val="32"/>
          <w:szCs w:val="32"/>
          <w:shd w:val="clear" w:color="auto" w:fill="FFFFFF"/>
          <w:lang w:val="en-US" w:eastAsia="zh-CN"/>
        </w:rPr>
        <w:t>1.</w:t>
      </w:r>
      <w:r>
        <w:rPr>
          <w:rFonts w:hint="eastAsia" w:ascii="仿宋_GB2312" w:hAnsi="Times New Roman" w:eastAsia="仿宋_GB2312" w:cs="仿宋_GB2312"/>
          <w:b/>
          <w:bCs/>
          <w:color w:val="auto"/>
          <w:kern w:val="2"/>
          <w:sz w:val="32"/>
          <w:szCs w:val="32"/>
          <w:shd w:val="clear" w:color="auto" w:fill="FFFFFF"/>
        </w:rPr>
        <w:t>验收：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已组建运行满三年、尚未验收的省工程中心（名单见附件1-1）。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3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仿宋_GB2312"/>
          <w:b/>
          <w:bCs/>
          <w:color w:val="auto"/>
          <w:kern w:val="2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eastAsia" w:ascii="仿宋_GB2312" w:hAnsi="Times New Roman" w:eastAsia="仿宋_GB2312" w:cs="仿宋_GB2312"/>
          <w:b/>
          <w:bCs/>
          <w:color w:val="auto"/>
          <w:kern w:val="2"/>
          <w:sz w:val="32"/>
          <w:szCs w:val="32"/>
          <w:shd w:val="clear" w:color="auto" w:fill="FFFFFF"/>
        </w:rPr>
        <w:t>绩效评价：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2019年以前已通过验收的省工程中心（名单见附件2-1）。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黑体" w:hAnsi="黑体" w:eastAsia="黑体" w:cs="黑体"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shd w:val="clear" w:color="auto" w:fill="FFFFFF"/>
        </w:rPr>
        <w:t>二、工作程序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3" w:firstLineChars="200"/>
        <w:jc w:val="both"/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shd w:val="clear" w:color="auto" w:fill="FFFFFF"/>
        </w:rPr>
        <w:t>（一）验收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1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请申请验收的在建工程中心登录省科技厅门户网站，进入“安徽省科技创新云服务平台”内的“科技管理信息系统”-“填写申请书”-“新增项目申请”-“省平台和人才专项”-“安徽省工程技术研究中心验收”，按系统提示填写验收信息并上传相关附件材料。纸质材料须从网上下载打印，与附件证明材料</w:t>
      </w:r>
      <w:r>
        <w:rPr>
          <w:rFonts w:hint="eastAsia" w:ascii="仿宋_GB2312" w:hAnsi="Times New Roman" w:eastAsia="仿宋_GB2312" w:cs="仿宋_GB2312"/>
          <w:b/>
          <w:bCs/>
          <w:color w:val="auto"/>
          <w:kern w:val="2"/>
          <w:sz w:val="32"/>
          <w:szCs w:val="32"/>
          <w:shd w:val="clear" w:color="auto" w:fill="FFFFFF"/>
        </w:rPr>
        <w:t>分别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装订成册，一式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四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份，经依托单位负责人签字盖章后报送至所在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县区、园区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科技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主管部门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2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各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县区、园区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科技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主管部门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负责通知和督促在建工程中心准备验收材料，并结合工程中心实际建设运行情况，对验收材料进行认真把关，提出审查意见，进行推荐上报。验收材料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各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县区、园区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科技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主管部门汇总后，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请于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30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日前统一报送。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3" w:firstLineChars="200"/>
        <w:jc w:val="both"/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shd w:val="clear" w:color="auto" w:fill="FFFFFF"/>
        </w:rPr>
        <w:t>（二）绩效评价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1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请参加绩效评价的各工程中心接此通知后，先开展自评，登录省科技厅门户网站，进入“安徽省科技创新云服务平台”内的“科技管理信息系统”-“填写申请书”-“新增项目申请”-“省平台和人才专项”-“安徽省工程技术研究中心绩效评价”，按系统提示填写绩效评价信息并上传相关附件材料。纸质材料须从网上下载打印，连同附件证明材料装订成册，一式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三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份，经依托单位负责人签字盖章后报送至所在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县区、园区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科技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主管部门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2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各市科技局根据备案期工程中心实际运行情况，对绩效评价材料进行审查，并</w:t>
      </w:r>
      <w:r>
        <w:rPr>
          <w:rFonts w:hint="eastAsia" w:ascii="仿宋_GB2312" w:hAnsi="Times New Roman" w:eastAsia="仿宋_GB2312" w:cs="仿宋_GB2312"/>
          <w:b/>
          <w:bCs/>
          <w:color w:val="auto"/>
          <w:kern w:val="2"/>
          <w:sz w:val="32"/>
          <w:szCs w:val="32"/>
          <w:shd w:val="clear" w:color="auto" w:fill="FFFFFF"/>
        </w:rPr>
        <w:t>排序推荐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。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评价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材料各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县区、园区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科技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主管部门汇总后，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请于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30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日前统一报送。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黑体" w:hAnsi="黑体" w:eastAsia="黑体" w:cs="黑体"/>
          <w:color w:val="auto"/>
          <w:kern w:val="2"/>
          <w:sz w:val="32"/>
          <w:szCs w:val="32"/>
          <w:shd w:val="clear" w:color="auto" w:fill="FFFFFF"/>
          <w:lang w:eastAsia="zh-CN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shd w:val="clear" w:color="auto" w:fill="FFFFFF"/>
          <w:lang w:eastAsia="zh-CN"/>
        </w:rPr>
        <w:t>三、材料要求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3" w:firstLineChars="200"/>
        <w:jc w:val="both"/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shd w:val="clear" w:color="auto" w:fill="FFFFFF"/>
          <w:lang w:eastAsia="zh-CN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shd w:val="clear" w:color="auto" w:fill="FFFFFF"/>
          <w:lang w:eastAsia="zh-CN"/>
        </w:rPr>
        <w:t>（一）验收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1.验收申请表；2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基本信息表；3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原建设计划任务书和任务书目标完成情况对照表（注：对照表完成情况要对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3年组建期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到期时完成情况和到现在指标情况分别表述。）；4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组建以来工作总结报告；5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财务决算报告（截至到现在）；6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技术委员会、主要研发团队名单和活动记录；7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任务书完成情况相关证明材料，包括研发项目、工程化产业化成果、知识产权、制定标准、人才培训、开放服务等。组建超过三年的工程中心，提供近三年情况材料。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3" w:firstLineChars="200"/>
        <w:jc w:val="both"/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shd w:val="clear" w:color="auto" w:fill="FFFFFF"/>
          <w:lang w:eastAsia="zh-CN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shd w:val="clear" w:color="auto" w:fill="FFFFFF"/>
          <w:lang w:eastAsia="zh-CN"/>
        </w:rPr>
        <w:t>（二）绩效评价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1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基本信息表；2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运行绩效评价工作总结报告；3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技术委员会、主要研发团队人员名单、技术带头人情况和开展产学研活动等；4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研究开发费用支出明细；5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相关证明材料，包括研发设施条件、研发项目、成果转化、知识产权、制定标准、获得奖励、工程化研发和对外开展相关科技服务等。工程中心提供近三年情况材料。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黑体" w:hAnsi="黑体" w:eastAsia="黑体" w:cs="黑体"/>
          <w:color w:val="auto"/>
          <w:kern w:val="2"/>
          <w:sz w:val="32"/>
          <w:szCs w:val="32"/>
          <w:shd w:val="clear" w:color="auto" w:fill="FFFFFF"/>
          <w:lang w:eastAsia="zh-CN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shd w:val="clear" w:color="auto" w:fill="FFFFFF"/>
          <w:lang w:eastAsia="zh-CN"/>
        </w:rPr>
        <w:t>四、有关要求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ascii="仿宋_GB2312" w:eastAsia="仿宋_GB2312" w:cs="Times New Roman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1.各</w:t>
      </w: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  <w:t>县区、园区要高度重视，</w:t>
      </w: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  <w:lang w:eastAsia="zh-CN"/>
        </w:rPr>
        <w:t>加强指导和督促，</w:t>
      </w: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  <w:t>及时准确上报有关材料。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对未按期参加验收或绩效评价的，由依托单位提出提出终止申请，并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提供相关证明材料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，经县区、园区科技主管部门核实后，向市科技局提出申请。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依托单位名称发生变更的，在报送验收、绩效评价材料时，须同时提交更名申请、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县区、园区科技主管部门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审核意见和相关证明材料。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联系人及联系方式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：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市科技局</w:t>
      </w: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  <w:lang w:eastAsia="zh-CN"/>
        </w:rPr>
        <w:t>段大鹏</w:t>
      </w: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  <w:lang w:val="en-US" w:eastAsia="zh-CN"/>
        </w:rPr>
        <w:t xml:space="preserve">  凤祥羽3022482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  <w:t>省科技厅网络支持联系电话 0551-62654951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</w:pPr>
      <w:r>
        <w:rPr>
          <w:rFonts w:hint="eastAsia" w:ascii="仿宋_GB2312" w:eastAsia="仿宋_GB2312" w:cs="仿宋_GB2312"/>
          <w:kern w:val="2"/>
          <w:sz w:val="32"/>
          <w:szCs w:val="32"/>
          <w:shd w:val="clear" w:color="auto" w:fill="FFFFFF"/>
        </w:rPr>
        <w:t>特此通知。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</w:pP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fldChar w:fldCharType="begin"/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instrText xml:space="preserve"> HYPERLINK "http://kjt.ah.gov.cn/mserver/download/?_id=5ce7498e7f8b9ae57233c892&amp;SiteId=5877213bceab06243682f6b5" </w:instrTex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fldChar w:fldCharType="separate"/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附件：1.省工程中心验收相关材料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fldChar w:fldCharType="end"/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fldChar w:fldCharType="begin"/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instrText xml:space="preserve"> HYPERLINK "http://kjt.ah.gov.cn/mserver/download/?_id=5ce7498e7f8b9ae57233c891&amp;SiteId=5877213bceab06243682f6b5" </w:instrTex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fldChar w:fldCharType="separate"/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 xml:space="preserve">      2.省工程中心绩效评价相关材料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fldChar w:fldCharType="end"/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left="1918" w:leftChars="304" w:hanging="1280" w:hangingChars="4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 xml:space="preserve">      3.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</w:rPr>
        <w:t>《关于组织开展2019年度省工程技术研究中心验收和绩效评价工作的通知》（皖科基地秘〔2019〕248号）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left="1915" w:leftChars="912" w:firstLine="0" w:firstLineChars="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（http://www.ahkjt.gov.cn/content/detail/5ce7498e7f8b9ae57233c88f.html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）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5760" w:firstLineChars="18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</w:pP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5760" w:firstLineChars="18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宿州市科技局</w:t>
      </w: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5440" w:firstLineChars="17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2019年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月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  <w:t>日</w:t>
      </w:r>
    </w:p>
    <w:p>
      <w:pPr>
        <w:pStyle w:val="4"/>
        <w:shd w:val="clear" w:color="auto" w:fill="FFFFFF"/>
        <w:tabs>
          <w:tab w:val="left" w:pos="709"/>
        </w:tabs>
        <w:spacing w:before="0" w:beforeAutospacing="0" w:after="0" w:afterAutospacing="0" w:line="660" w:lineRule="exact"/>
        <w:rPr>
          <w:rFonts w:ascii="Times New Roman" w:hAnsi="黑体" w:eastAsia="黑体"/>
          <w:color w:val="000000"/>
          <w:sz w:val="32"/>
          <w:szCs w:val="32"/>
        </w:rPr>
      </w:pPr>
    </w:p>
    <w:p>
      <w:pPr>
        <w:pStyle w:val="4"/>
        <w:shd w:val="clear" w:color="auto" w:fill="FFFFFF"/>
        <w:tabs>
          <w:tab w:val="left" w:pos="709"/>
        </w:tabs>
        <w:spacing w:before="0" w:beforeAutospacing="0" w:after="0" w:afterAutospacing="0" w:line="660" w:lineRule="exact"/>
        <w:rPr>
          <w:rFonts w:ascii="Times New Roman" w:hAnsi="黑体" w:eastAsia="黑体"/>
          <w:color w:val="000000"/>
          <w:sz w:val="32"/>
          <w:szCs w:val="32"/>
        </w:rPr>
      </w:pPr>
    </w:p>
    <w:p>
      <w:pPr>
        <w:pStyle w:val="4"/>
        <w:shd w:val="clear" w:color="auto" w:fill="FFFFFF"/>
        <w:tabs>
          <w:tab w:val="left" w:pos="709"/>
        </w:tabs>
        <w:spacing w:before="0" w:beforeAutospacing="0" w:after="0" w:afterAutospacing="0" w:line="660" w:lineRule="exact"/>
        <w:rPr>
          <w:rFonts w:ascii="Times New Roman" w:hAnsi="黑体" w:eastAsia="黑体"/>
          <w:color w:val="000000"/>
          <w:sz w:val="32"/>
          <w:szCs w:val="32"/>
        </w:rPr>
      </w:pPr>
    </w:p>
    <w:p>
      <w:pPr>
        <w:pStyle w:val="4"/>
        <w:shd w:val="clear" w:color="auto" w:fill="FFFFFF"/>
        <w:tabs>
          <w:tab w:val="left" w:pos="709"/>
        </w:tabs>
        <w:spacing w:before="0" w:beforeAutospacing="0" w:after="0" w:afterAutospacing="0" w:line="660" w:lineRule="exact"/>
        <w:rPr>
          <w:rFonts w:ascii="Times New Roman" w:hAnsi="Times New Roman" w:eastAsia="黑体"/>
          <w:color w:val="000000"/>
          <w:sz w:val="32"/>
          <w:szCs w:val="32"/>
        </w:rPr>
      </w:pPr>
      <w:r>
        <w:rPr>
          <w:rFonts w:ascii="Times New Roman" w:hAnsi="黑体" w:eastAsia="黑体"/>
          <w:color w:val="000000"/>
          <w:sz w:val="32"/>
          <w:szCs w:val="32"/>
        </w:rPr>
        <w:t>附件</w:t>
      </w:r>
      <w:r>
        <w:rPr>
          <w:rFonts w:ascii="Times New Roman" w:hAnsi="Times New Roman" w:eastAsia="黑体"/>
          <w:color w:val="000000"/>
          <w:sz w:val="32"/>
          <w:szCs w:val="32"/>
        </w:rPr>
        <w:t>1-1</w:t>
      </w:r>
    </w:p>
    <w:p>
      <w:pPr>
        <w:pStyle w:val="4"/>
        <w:shd w:val="clear" w:color="auto" w:fill="FFFFFF"/>
        <w:tabs>
          <w:tab w:val="left" w:pos="0"/>
        </w:tabs>
        <w:spacing w:before="0" w:beforeAutospacing="0" w:line="660" w:lineRule="exact"/>
        <w:jc w:val="center"/>
        <w:rPr>
          <w:rFonts w:ascii="Times New Roman" w:hAnsi="Times New Roman" w:eastAsia="方正小标宋_GBK"/>
          <w:color w:val="000000"/>
          <w:sz w:val="44"/>
          <w:szCs w:val="44"/>
        </w:rPr>
      </w:pPr>
      <w:r>
        <w:rPr>
          <w:rFonts w:ascii="Times New Roman" w:hAnsi="Times New Roman" w:eastAsia="方正小标宋_GBK"/>
          <w:sz w:val="44"/>
          <w:szCs w:val="44"/>
        </w:rPr>
        <w:t>未验收省工程中心名单</w:t>
      </w:r>
    </w:p>
    <w:tbl>
      <w:tblPr>
        <w:tblStyle w:val="5"/>
        <w:tblW w:w="904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2930"/>
        <w:gridCol w:w="2970"/>
        <w:gridCol w:w="1365"/>
        <w:gridCol w:w="1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tblHeader/>
        </w:trPr>
        <w:tc>
          <w:tcPr>
            <w:tcW w:w="60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930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b/>
                <w:bCs/>
                <w:color w:val="000000"/>
                <w:kern w:val="0"/>
                <w:szCs w:val="21"/>
              </w:rPr>
              <w:t>工程中心名称</w:t>
            </w:r>
          </w:p>
        </w:tc>
        <w:tc>
          <w:tcPr>
            <w:tcW w:w="2970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b/>
                <w:bCs/>
                <w:color w:val="000000"/>
                <w:kern w:val="0"/>
                <w:szCs w:val="21"/>
              </w:rPr>
              <w:t>依托单位</w:t>
            </w:r>
          </w:p>
        </w:tc>
        <w:tc>
          <w:tcPr>
            <w:tcW w:w="1365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宋体" w:cs="Times New Roman"/>
                <w:b/>
                <w:bCs/>
                <w:color w:val="000000"/>
                <w:kern w:val="0"/>
                <w:szCs w:val="21"/>
                <w:lang w:eastAsia="zh-CN"/>
              </w:rPr>
              <w:t>组建年份</w:t>
            </w:r>
          </w:p>
        </w:tc>
        <w:tc>
          <w:tcPr>
            <w:tcW w:w="117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宋体" w:eastAsia="宋体" w:cs="Times New Roman"/>
                <w:b/>
                <w:bCs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宋体" w:cs="Times New Roman"/>
                <w:b/>
                <w:bCs/>
                <w:color w:val="000000"/>
                <w:kern w:val="0"/>
                <w:szCs w:val="21"/>
                <w:lang w:eastAsia="zh-CN"/>
              </w:rPr>
              <w:t>所在区域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tblHeader/>
        </w:trPr>
        <w:tc>
          <w:tcPr>
            <w:tcW w:w="60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293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安徽省新型耐火材料工程技术研究中心</w:t>
            </w:r>
          </w:p>
        </w:tc>
        <w:tc>
          <w:tcPr>
            <w:tcW w:w="297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安徽省萧县华龙耐火材料有限责任公司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2016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宋体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萧县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tblHeader/>
        </w:trPr>
        <w:tc>
          <w:tcPr>
            <w:tcW w:w="60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293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安徽省果蔬罐头加工工程技术研究中心</w:t>
            </w:r>
          </w:p>
        </w:tc>
        <w:tc>
          <w:tcPr>
            <w:tcW w:w="297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安徽省砀山兴达罐业食品有限公司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2016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宋体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砀山县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3" w:hRule="atLeast"/>
          <w:tblHeader/>
        </w:trPr>
        <w:tc>
          <w:tcPr>
            <w:tcW w:w="60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293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安徽省矿用新型辅助运输机械工程技术研究中心</w:t>
            </w:r>
          </w:p>
        </w:tc>
        <w:tc>
          <w:tcPr>
            <w:tcW w:w="297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安徽新园矿山设备制造有限责任公司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2014-2015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宋体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埇桥区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tblHeader/>
        </w:trPr>
        <w:tc>
          <w:tcPr>
            <w:tcW w:w="60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293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安徽省无籽西瓜育苗工程技术中心</w:t>
            </w:r>
          </w:p>
        </w:tc>
        <w:tc>
          <w:tcPr>
            <w:tcW w:w="297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安徽省丰田无籽西瓜技术有限公司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2014-2015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宋体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tblHeader/>
        </w:trPr>
        <w:tc>
          <w:tcPr>
            <w:tcW w:w="60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293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宋体" w:eastAsia="宋体" w:cs="Times New Roman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eastAsia="zh-CN"/>
              </w:rPr>
              <w:t>安徽省复合酶提取工程技术中心</w:t>
            </w:r>
          </w:p>
        </w:tc>
        <w:tc>
          <w:tcPr>
            <w:tcW w:w="297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宋体" w:eastAsia="宋体" w:cs="Times New Roman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eastAsia="zh-CN"/>
              </w:rPr>
              <w:t>安徽砀山海升果业有限责任公司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宋体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2014-2015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砀山县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tblHeader/>
        </w:trPr>
        <w:tc>
          <w:tcPr>
            <w:tcW w:w="60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6</w:t>
            </w:r>
          </w:p>
        </w:tc>
        <w:tc>
          <w:tcPr>
            <w:tcW w:w="293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安徽省矿用绞车工程技术研究中心</w:t>
            </w:r>
          </w:p>
        </w:tc>
        <w:tc>
          <w:tcPr>
            <w:tcW w:w="297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安徽省宿州市龙华机械制造有限公司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2013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宋体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埇桥区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tblHeader/>
        </w:trPr>
        <w:tc>
          <w:tcPr>
            <w:tcW w:w="60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7</w:t>
            </w:r>
          </w:p>
        </w:tc>
        <w:tc>
          <w:tcPr>
            <w:tcW w:w="293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安徽省生物菌肥工程技术研究中心</w:t>
            </w:r>
          </w:p>
        </w:tc>
        <w:tc>
          <w:tcPr>
            <w:tcW w:w="297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安徽沃福农业生物科技股份有限公司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2013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宋体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砀山县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tblHeader/>
        </w:trPr>
        <w:tc>
          <w:tcPr>
            <w:tcW w:w="60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8</w:t>
            </w:r>
          </w:p>
        </w:tc>
        <w:tc>
          <w:tcPr>
            <w:tcW w:w="293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安徽省植保机械生产工程技术研究中心</w:t>
            </w:r>
          </w:p>
        </w:tc>
        <w:tc>
          <w:tcPr>
            <w:tcW w:w="297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kern w:val="0"/>
                <w:szCs w:val="21"/>
              </w:rPr>
              <w:t>安徽江淮重工机械有限公司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2012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宋体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宋体" w:cs="Times New Roman"/>
                <w:color w:val="000000"/>
                <w:kern w:val="0"/>
                <w:szCs w:val="21"/>
                <w:lang w:val="en-US" w:eastAsia="zh-CN"/>
              </w:rPr>
              <w:t>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tblHeader/>
        </w:trPr>
        <w:tc>
          <w:tcPr>
            <w:tcW w:w="604" w:type="dxa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293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2970" w:type="dxa"/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3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17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宋体" w:cs="Times New Roman"/>
                <w:color w:val="000000"/>
                <w:kern w:val="0"/>
                <w:szCs w:val="21"/>
              </w:rPr>
            </w:pPr>
          </w:p>
        </w:tc>
      </w:tr>
    </w:tbl>
    <w:p>
      <w:pPr>
        <w:widowControl/>
        <w:jc w:val="left"/>
        <w:rPr>
          <w:rFonts w:eastAsia="仿宋"/>
          <w:kern w:val="0"/>
          <w:sz w:val="32"/>
          <w:szCs w:val="32"/>
        </w:rPr>
      </w:pPr>
    </w:p>
    <w:p>
      <w:pPr>
        <w:widowControl/>
        <w:jc w:val="left"/>
        <w:rPr>
          <w:rFonts w:eastAsia="黑体"/>
          <w:color w:val="000000"/>
          <w:kern w:val="0"/>
          <w:sz w:val="32"/>
          <w:szCs w:val="32"/>
        </w:rPr>
      </w:pPr>
      <w:r>
        <w:rPr>
          <w:rFonts w:eastAsia="仿宋"/>
          <w:kern w:val="0"/>
          <w:sz w:val="32"/>
          <w:szCs w:val="32"/>
        </w:rPr>
        <w:br w:type="page"/>
      </w:r>
      <w:r>
        <w:rPr>
          <w:rFonts w:hAnsi="黑体" w:eastAsia="黑体"/>
          <w:color w:val="000000"/>
          <w:sz w:val="32"/>
          <w:szCs w:val="32"/>
        </w:rPr>
        <w:t>附件</w:t>
      </w:r>
      <w:r>
        <w:rPr>
          <w:rFonts w:eastAsia="黑体"/>
          <w:color w:val="000000"/>
          <w:sz w:val="32"/>
          <w:szCs w:val="32"/>
        </w:rPr>
        <w:t>1-2</w:t>
      </w:r>
    </w:p>
    <w:p>
      <w:pPr>
        <w:spacing w:after="100" w:afterAutospacing="1"/>
        <w:jc w:val="center"/>
        <w:rPr>
          <w:rFonts w:eastAsia="方正小标宋_GBK"/>
          <w:color w:val="000000"/>
          <w:sz w:val="18"/>
          <w:szCs w:val="18"/>
        </w:rPr>
      </w:pPr>
      <w:r>
        <w:rPr>
          <w:rFonts w:eastAsia="方正小标宋_GBK"/>
          <w:color w:val="000000"/>
          <w:sz w:val="44"/>
          <w:szCs w:val="44"/>
        </w:rPr>
        <w:t>省工程技术研究中心验收申请表</w:t>
      </w:r>
    </w:p>
    <w:p>
      <w:pPr>
        <w:rPr>
          <w:szCs w:val="21"/>
        </w:rPr>
      </w:pPr>
      <w:r>
        <w:rPr>
          <w:rFonts w:hAnsi="宋体"/>
          <w:szCs w:val="21"/>
        </w:rPr>
        <w:t>申请验收中心依托单位（盖章）：填表时间：</w:t>
      </w:r>
    </w:p>
    <w:p>
      <w:pPr>
        <w:rPr>
          <w:szCs w:val="21"/>
        </w:rPr>
      </w:pPr>
    </w:p>
    <w:tbl>
      <w:tblPr>
        <w:tblStyle w:val="5"/>
        <w:tblW w:w="9424" w:type="dxa"/>
        <w:jc w:val="center"/>
        <w:tblInd w:w="1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2"/>
        <w:gridCol w:w="1259"/>
        <w:gridCol w:w="14"/>
        <w:gridCol w:w="1505"/>
        <w:gridCol w:w="1418"/>
        <w:gridCol w:w="1701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1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中心名称</w:t>
            </w:r>
          </w:p>
        </w:tc>
        <w:tc>
          <w:tcPr>
            <w:tcW w:w="41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归口管理部门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中心负责人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项目起始时间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计划完成时间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中心联系人</w:t>
            </w:r>
          </w:p>
        </w:tc>
        <w:tc>
          <w:tcPr>
            <w:tcW w:w="1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联系电话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建设合同书编号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中心地址</w:t>
            </w:r>
          </w:p>
        </w:tc>
        <w:tc>
          <w:tcPr>
            <w:tcW w:w="41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邮政编码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完成情况</w:t>
            </w:r>
          </w:p>
        </w:tc>
        <w:tc>
          <w:tcPr>
            <w:tcW w:w="78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□</w:t>
            </w:r>
            <w:r>
              <w:rPr>
                <w:rFonts w:ascii="Times New Roman" w:hAnsi="宋体" w:cs="Times New Roman"/>
                <w:szCs w:val="21"/>
              </w:rPr>
              <w:t>达到预期目标</w:t>
            </w:r>
            <w:r>
              <w:rPr>
                <w:rFonts w:ascii="Times New Roman" w:hAnsi="Times New Roman" w:cs="Times New Roman"/>
                <w:szCs w:val="21"/>
              </w:rPr>
              <w:t xml:space="preserve">       </w:t>
            </w:r>
            <w:r>
              <w:rPr>
                <w:rFonts w:ascii="Times New Roman" w:hAnsi="Times New Roman" w:cs="Times New Roman"/>
                <w:szCs w:val="21"/>
              </w:rPr>
              <w:sym w:font="Wingdings 2" w:char="00A3"/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宋体" w:cs="Times New Roman"/>
                <w:szCs w:val="21"/>
              </w:rPr>
              <w:t>基本达到预期目标</w:t>
            </w:r>
            <w:r>
              <w:rPr>
                <w:rFonts w:ascii="Times New Roman" w:hAnsi="Times New Roman" w:cs="Times New Roman"/>
                <w:szCs w:val="21"/>
              </w:rPr>
              <w:t xml:space="preserve">     □ </w:t>
            </w:r>
            <w:r>
              <w:rPr>
                <w:rFonts w:ascii="Times New Roman" w:hAnsi="宋体" w:cs="Times New Roman"/>
                <w:szCs w:val="21"/>
              </w:rPr>
              <w:t>未达到预期目标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942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b/>
                <w:bCs/>
                <w:szCs w:val="21"/>
              </w:rPr>
              <w:t>合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 xml:space="preserve"> </w:t>
            </w:r>
            <w:r>
              <w:rPr>
                <w:rFonts w:ascii="Times New Roman" w:hAnsi="宋体" w:cs="Times New Roman"/>
                <w:b/>
                <w:bCs/>
                <w:szCs w:val="21"/>
              </w:rPr>
              <w:t>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序号</w:t>
            </w:r>
          </w:p>
        </w:tc>
        <w:tc>
          <w:tcPr>
            <w:tcW w:w="78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单位名称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1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78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78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78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942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b/>
                <w:bCs/>
                <w:szCs w:val="21"/>
              </w:rPr>
              <w:t>验收文件和资料目录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4" w:hRule="atLeast"/>
          <w:jc w:val="center"/>
        </w:trPr>
        <w:tc>
          <w:tcPr>
            <w:tcW w:w="942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</w:t>
            </w:r>
            <w:r>
              <w:rPr>
                <w:rFonts w:ascii="Times New Roman" w:hAnsi="宋体" w:cs="Times New Roman"/>
                <w:szCs w:val="21"/>
              </w:rPr>
              <w:t>、原建设计划任务书和目标完成情况对照表；</w:t>
            </w:r>
            <w:r>
              <w:rPr>
                <w:rFonts w:ascii="Times New Roman" w:hAnsi="Times New Roman" w:cs="Times New Roman"/>
                <w:szCs w:val="21"/>
              </w:rPr>
              <w:t>2</w:t>
            </w:r>
            <w:r>
              <w:rPr>
                <w:rFonts w:ascii="Times New Roman" w:hAnsi="宋体" w:cs="Times New Roman"/>
                <w:szCs w:val="21"/>
              </w:rPr>
              <w:t>、组建以来总结报告；</w:t>
            </w:r>
            <w:r>
              <w:rPr>
                <w:rFonts w:ascii="Times New Roman" w:hAnsi="Times New Roman" w:cs="Times New Roman"/>
                <w:szCs w:val="21"/>
              </w:rPr>
              <w:t>3</w:t>
            </w:r>
            <w:r>
              <w:rPr>
                <w:rFonts w:ascii="Times New Roman" w:hAnsi="宋体" w:cs="Times New Roman"/>
                <w:szCs w:val="21"/>
              </w:rPr>
              <w:t>、财务决算报告；</w:t>
            </w:r>
          </w:p>
          <w:p>
            <w:pPr>
              <w:snapToGrid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</w:t>
            </w:r>
            <w:r>
              <w:rPr>
                <w:rFonts w:ascii="Times New Roman" w:hAnsi="宋体" w:cs="Times New Roman"/>
                <w:szCs w:val="21"/>
              </w:rPr>
              <w:t>、技术委员会、主要研发团队名单和活动记录；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  <w:r>
              <w:rPr>
                <w:rFonts w:ascii="Times New Roman" w:hAnsi="宋体" w:cs="Times New Roman"/>
                <w:szCs w:val="21"/>
              </w:rPr>
              <w:t>、研发项目、获奖情况、知识产权、标准等清单及证明材料；</w:t>
            </w:r>
            <w:r>
              <w:rPr>
                <w:rFonts w:ascii="Times New Roman" w:hAnsi="Times New Roman" w:cs="Times New Roman"/>
                <w:szCs w:val="21"/>
              </w:rPr>
              <w:t>6</w:t>
            </w:r>
            <w:r>
              <w:rPr>
                <w:rFonts w:ascii="Times New Roman" w:hAnsi="宋体" w:cs="Times New Roman"/>
                <w:szCs w:val="21"/>
              </w:rPr>
              <w:t>、人员培训和开放服务情况等证明材料；</w:t>
            </w:r>
            <w:r>
              <w:rPr>
                <w:rFonts w:ascii="Times New Roman" w:hAnsi="Times New Roman" w:cs="Times New Roman"/>
                <w:szCs w:val="21"/>
              </w:rPr>
              <w:t>7</w:t>
            </w:r>
            <w:r>
              <w:rPr>
                <w:rFonts w:ascii="Times New Roman" w:hAnsi="宋体" w:cs="Times New Roman"/>
                <w:szCs w:val="21"/>
              </w:rPr>
              <w:t>、其他相关情况证明材料。</w:t>
            </w:r>
          </w:p>
          <w:p>
            <w:pPr>
              <w:snapToGrid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宋体" w:cs="Times New Roman"/>
                <w:szCs w:val="21"/>
              </w:rPr>
              <w:t>相关证明材料截至日期为建设任务书中的建设时间，建设超过三年的为近三年情况。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  <w:jc w:val="center"/>
        </w:trPr>
        <w:tc>
          <w:tcPr>
            <w:tcW w:w="942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Cs w:val="21"/>
              </w:rPr>
            </w:pPr>
          </w:p>
          <w:p>
            <w:pPr>
              <w:jc w:val="left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szCs w:val="21"/>
              </w:rPr>
              <w:t>负责人签字</w:t>
            </w:r>
            <w:r>
              <w:rPr>
                <w:rFonts w:ascii="Times New Roman" w:hAnsi="Times New Roman" w:cs="Times New Roman"/>
                <w:color w:val="000000"/>
                <w:szCs w:val="21"/>
              </w:rPr>
              <w:t>(</w:t>
            </w:r>
            <w:r>
              <w:rPr>
                <w:rFonts w:ascii="Times New Roman" w:hAnsi="宋体" w:cs="Times New Roman"/>
                <w:color w:val="000000"/>
                <w:szCs w:val="21"/>
              </w:rPr>
              <w:t>单位盖章</w:t>
            </w:r>
            <w:r>
              <w:rPr>
                <w:rFonts w:ascii="Times New Roman" w:hAnsi="Times New Roman" w:cs="Times New Roman"/>
                <w:color w:val="000000"/>
                <w:szCs w:val="21"/>
              </w:rPr>
              <w:t xml:space="preserve">):                                            </w:t>
            </w:r>
            <w:r>
              <w:rPr>
                <w:rFonts w:ascii="Times New Roman" w:hAnsi="宋体" w:cs="Times New Roman"/>
                <w:color w:val="000000"/>
                <w:szCs w:val="21"/>
              </w:rPr>
              <w:t>年</w:t>
            </w:r>
            <w:r>
              <w:rPr>
                <w:rFonts w:ascii="Times New Roman" w:hAnsi="Times New Roman" w:cs="Times New Roman"/>
                <w:color w:val="000000"/>
                <w:szCs w:val="21"/>
              </w:rPr>
              <w:t xml:space="preserve">   </w:t>
            </w:r>
            <w:r>
              <w:rPr>
                <w:rFonts w:ascii="Times New Roman" w:hAnsi="宋体" w:cs="Times New Roman"/>
                <w:color w:val="000000"/>
                <w:szCs w:val="21"/>
              </w:rPr>
              <w:t>月</w:t>
            </w:r>
            <w:r>
              <w:rPr>
                <w:rFonts w:ascii="Times New Roman" w:hAnsi="Times New Roman" w:cs="Times New Roman"/>
                <w:color w:val="000000"/>
                <w:szCs w:val="21"/>
              </w:rPr>
              <w:t xml:space="preserve">  </w:t>
            </w:r>
            <w:r>
              <w:rPr>
                <w:rFonts w:ascii="Times New Roman" w:hAnsi="宋体" w:cs="Times New Roman"/>
                <w:color w:val="000000"/>
                <w:szCs w:val="21"/>
              </w:rPr>
              <w:t>日</w:t>
            </w:r>
            <w:r>
              <w:rPr>
                <w:rFonts w:ascii="Times New Roman" w:hAnsi="Times New Roman" w:cs="Times New Roman"/>
                <w:color w:val="000000"/>
                <w:szCs w:val="21"/>
              </w:rPr>
              <w:t xml:space="preserve"> </w:t>
            </w:r>
          </w:p>
          <w:p>
            <w:pPr>
              <w:jc w:val="left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  <w:jc w:val="center"/>
        </w:trPr>
        <w:tc>
          <w:tcPr>
            <w:tcW w:w="942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宋体" w:cs="Times New Roman"/>
                <w:color w:val="000000"/>
                <w:szCs w:val="21"/>
              </w:rPr>
              <w:t>归口管理部门意见：</w:t>
            </w:r>
          </w:p>
          <w:p>
            <w:pPr>
              <w:jc w:val="left"/>
              <w:rPr>
                <w:rFonts w:ascii="Times New Roman" w:hAnsi="Times New Roman" w:cs="Times New Roman"/>
                <w:color w:val="000000"/>
                <w:szCs w:val="21"/>
              </w:rPr>
            </w:pPr>
          </w:p>
          <w:p>
            <w:pPr>
              <w:snapToGrid w:val="0"/>
              <w:spacing w:line="500" w:lineRule="exact"/>
              <w:ind w:firstLine="6090" w:firstLineChars="2900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宋体" w:cs="Times New Roman"/>
                <w:szCs w:val="21"/>
                <w:lang w:eastAsia="zh-CN"/>
              </w:rPr>
              <w:t>宿州市科技局</w:t>
            </w:r>
            <w:r>
              <w:rPr>
                <w:rFonts w:ascii="Times New Roman" w:hAnsi="宋体" w:cs="Times New Roman"/>
                <w:szCs w:val="21"/>
              </w:rPr>
              <w:t>（单位公章）</w:t>
            </w:r>
          </w:p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                                                                 </w:t>
            </w:r>
            <w:r>
              <w:rPr>
                <w:rFonts w:ascii="Times New Roman" w:hAnsi="宋体" w:cs="Times New Roman"/>
                <w:szCs w:val="21"/>
              </w:rPr>
              <w:t>年</w:t>
            </w:r>
            <w:r>
              <w:rPr>
                <w:rFonts w:ascii="Times New Roman" w:hAnsi="Times New Roman" w:cs="Times New Roman"/>
                <w:szCs w:val="21"/>
              </w:rPr>
              <w:t xml:space="preserve">   </w:t>
            </w:r>
            <w:r>
              <w:rPr>
                <w:rFonts w:ascii="Times New Roman" w:hAnsi="宋体" w:cs="Times New Roman"/>
                <w:szCs w:val="21"/>
              </w:rPr>
              <w:t>月</w:t>
            </w:r>
            <w:r>
              <w:rPr>
                <w:rFonts w:ascii="Times New Roman" w:hAnsi="Times New Roman" w:cs="Times New Roman"/>
                <w:szCs w:val="21"/>
              </w:rPr>
              <w:t xml:space="preserve">   </w:t>
            </w:r>
            <w:r>
              <w:rPr>
                <w:rFonts w:ascii="Times New Roman" w:hAnsi="宋体" w:cs="Times New Roman"/>
                <w:szCs w:val="21"/>
              </w:rPr>
              <w:t>日</w:t>
            </w:r>
          </w:p>
        </w:tc>
      </w:tr>
    </w:tbl>
    <w:p>
      <w:pPr>
        <w:widowControl/>
        <w:spacing w:line="600" w:lineRule="exact"/>
        <w:jc w:val="left"/>
        <w:rPr>
          <w:rFonts w:hAnsi="黑体" w:eastAsia="黑体"/>
          <w:color w:val="000000"/>
          <w:kern w:val="0"/>
          <w:sz w:val="32"/>
          <w:szCs w:val="32"/>
        </w:rPr>
      </w:pPr>
    </w:p>
    <w:p>
      <w:pPr>
        <w:widowControl/>
        <w:spacing w:line="600" w:lineRule="exact"/>
        <w:jc w:val="left"/>
        <w:rPr>
          <w:rFonts w:hAnsi="黑体" w:eastAsia="黑体"/>
          <w:color w:val="000000"/>
          <w:kern w:val="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kern w:val="0"/>
          <w:sz w:val="32"/>
          <w:szCs w:val="32"/>
        </w:rPr>
      </w:pPr>
      <w:r>
        <w:rPr>
          <w:rFonts w:hAnsi="黑体" w:eastAsia="黑体"/>
          <w:color w:val="000000"/>
          <w:kern w:val="0"/>
          <w:sz w:val="32"/>
          <w:szCs w:val="32"/>
        </w:rPr>
        <w:t>附件</w:t>
      </w:r>
      <w:r>
        <w:rPr>
          <w:rFonts w:eastAsia="黑体"/>
          <w:color w:val="000000"/>
          <w:kern w:val="0"/>
          <w:sz w:val="32"/>
          <w:szCs w:val="32"/>
        </w:rPr>
        <w:t>1-3</w:t>
      </w:r>
    </w:p>
    <w:p>
      <w:pPr>
        <w:widowControl/>
        <w:spacing w:line="600" w:lineRule="exact"/>
        <w:jc w:val="left"/>
        <w:rPr>
          <w:rFonts w:eastAsia="黑体"/>
          <w:color w:val="000000"/>
          <w:kern w:val="0"/>
          <w:sz w:val="32"/>
          <w:szCs w:val="32"/>
        </w:rPr>
      </w:pPr>
    </w:p>
    <w:p>
      <w:pPr>
        <w:widowControl/>
        <w:spacing w:line="600" w:lineRule="exact"/>
        <w:jc w:val="center"/>
        <w:rPr>
          <w:rFonts w:eastAsia="方正小标宋_GBK"/>
          <w:bCs/>
          <w:sz w:val="44"/>
          <w:szCs w:val="44"/>
        </w:rPr>
      </w:pPr>
      <w:r>
        <w:rPr>
          <w:rFonts w:eastAsia="方正小标宋_GBK"/>
          <w:bCs/>
          <w:sz w:val="44"/>
          <w:szCs w:val="44"/>
        </w:rPr>
        <w:t>省工程中心验收工作总结报告提纲</w:t>
      </w:r>
    </w:p>
    <w:p>
      <w:pPr>
        <w:widowControl/>
        <w:spacing w:line="600" w:lineRule="exact"/>
        <w:jc w:val="center"/>
        <w:rPr>
          <w:rFonts w:eastAsia="方正小标宋_GBK"/>
          <w:bCs/>
          <w:sz w:val="44"/>
          <w:szCs w:val="44"/>
        </w:rPr>
      </w:pPr>
    </w:p>
    <w:p>
      <w:pPr>
        <w:snapToGrid w:val="0"/>
        <w:spacing w:line="600" w:lineRule="exact"/>
        <w:ind w:firstLine="640" w:firstLineChars="200"/>
        <w:rPr>
          <w:rFonts w:eastAsia="黑体"/>
          <w:bCs/>
          <w:sz w:val="32"/>
          <w:szCs w:val="32"/>
        </w:rPr>
      </w:pPr>
      <w:r>
        <w:rPr>
          <w:rFonts w:hAnsi="黑体" w:eastAsia="黑体"/>
          <w:bCs/>
          <w:sz w:val="32"/>
          <w:szCs w:val="32"/>
        </w:rPr>
        <w:t>一、概况</w:t>
      </w:r>
      <w:r>
        <w:rPr>
          <w:rFonts w:eastAsia="黑体"/>
          <w:bCs/>
          <w:sz w:val="32"/>
          <w:szCs w:val="32"/>
        </w:rPr>
        <w:t>(</w:t>
      </w:r>
      <w:r>
        <w:rPr>
          <w:rFonts w:hAnsi="黑体" w:eastAsia="黑体"/>
          <w:bCs/>
          <w:sz w:val="32"/>
          <w:szCs w:val="32"/>
        </w:rPr>
        <w:t>不超过</w:t>
      </w:r>
      <w:r>
        <w:rPr>
          <w:rFonts w:eastAsia="黑体"/>
          <w:bCs/>
          <w:sz w:val="32"/>
          <w:szCs w:val="32"/>
        </w:rPr>
        <w:t>300</w:t>
      </w:r>
      <w:r>
        <w:rPr>
          <w:rFonts w:hAnsi="黑体" w:eastAsia="黑体"/>
          <w:bCs/>
          <w:sz w:val="32"/>
          <w:szCs w:val="32"/>
        </w:rPr>
        <w:t>字</w:t>
      </w:r>
      <w:r>
        <w:rPr>
          <w:rFonts w:eastAsia="黑体"/>
          <w:bCs/>
          <w:sz w:val="32"/>
          <w:szCs w:val="32"/>
        </w:rPr>
        <w:t>)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(注明工程中心所属技术领域。)</w:t>
      </w:r>
    </w:p>
    <w:p>
      <w:pPr>
        <w:snapToGrid w:val="0"/>
        <w:spacing w:line="600" w:lineRule="exact"/>
        <w:ind w:firstLine="640" w:firstLineChars="200"/>
        <w:rPr>
          <w:rFonts w:eastAsia="黑体"/>
          <w:bCs/>
          <w:sz w:val="32"/>
          <w:szCs w:val="32"/>
        </w:rPr>
      </w:pPr>
      <w:r>
        <w:rPr>
          <w:rFonts w:hAnsi="黑体" w:eastAsia="黑体"/>
          <w:bCs/>
          <w:sz w:val="32"/>
          <w:szCs w:val="32"/>
        </w:rPr>
        <w:t>二、组建期间任务和目标完成情况</w:t>
      </w:r>
      <w:r>
        <w:rPr>
          <w:rFonts w:eastAsia="黑体"/>
          <w:bCs/>
          <w:sz w:val="32"/>
          <w:szCs w:val="32"/>
        </w:rPr>
        <w:t>(</w:t>
      </w:r>
      <w:r>
        <w:rPr>
          <w:rFonts w:hAnsi="黑体" w:eastAsia="黑体"/>
          <w:bCs/>
          <w:sz w:val="32"/>
          <w:szCs w:val="32"/>
        </w:rPr>
        <w:t>对照任务书</w:t>
      </w:r>
      <w:r>
        <w:rPr>
          <w:rFonts w:eastAsia="黑体"/>
          <w:bCs/>
          <w:sz w:val="32"/>
          <w:szCs w:val="32"/>
        </w:rPr>
        <w:t>)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1、研究开发能力和水平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2、工程化、产业化成果应用及社会经济效益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3、对外开放服务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4、运行管理和自身发展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5、经费投入和使用情况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6、其他</w:t>
      </w:r>
    </w:p>
    <w:p>
      <w:pPr>
        <w:snapToGrid w:val="0"/>
        <w:spacing w:line="600" w:lineRule="exact"/>
        <w:ind w:firstLine="640" w:firstLineChars="200"/>
        <w:rPr>
          <w:rFonts w:eastAsia="黑体"/>
          <w:bCs/>
          <w:sz w:val="32"/>
          <w:szCs w:val="32"/>
        </w:rPr>
      </w:pPr>
      <w:r>
        <w:rPr>
          <w:rFonts w:hAnsi="黑体" w:eastAsia="黑体"/>
          <w:bCs/>
          <w:sz w:val="32"/>
          <w:szCs w:val="32"/>
        </w:rPr>
        <w:t>三、典型案例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（选择3-5项代表性成果进行描述。主要内容包括：技术成果名称、关键技术及水平；技术成果工程化、产业化模式等；成果转化的经济效益以及对行业技术发展和竞争能力提升作用）。</w:t>
      </w:r>
    </w:p>
    <w:p>
      <w:pPr>
        <w:pStyle w:val="4"/>
        <w:shd w:val="clear" w:color="auto" w:fill="FFFFFF"/>
        <w:tabs>
          <w:tab w:val="left" w:pos="0"/>
        </w:tabs>
        <w:spacing w:before="0" w:beforeAutospacing="0" w:line="660" w:lineRule="exact"/>
        <w:jc w:val="center"/>
        <w:rPr>
          <w:rFonts w:ascii="Times New Roman" w:hAnsi="Times New Roman" w:eastAsia="宋体"/>
          <w:b/>
          <w:sz w:val="44"/>
          <w:szCs w:val="44"/>
        </w:rPr>
      </w:pPr>
    </w:p>
    <w:p>
      <w:pPr>
        <w:pStyle w:val="4"/>
        <w:widowControl/>
        <w:shd w:val="clear" w:color="auto" w:fill="FFFFFF"/>
        <w:autoSpaceDE w:val="0"/>
        <w:snapToGrid w:val="0"/>
        <w:spacing w:beforeAutospacing="0" w:afterAutospacing="0" w:line="56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auto"/>
          <w:kern w:val="2"/>
          <w:sz w:val="32"/>
          <w:szCs w:val="32"/>
          <w:shd w:val="clear" w:color="auto" w:fill="FFFFFF"/>
          <w:lang w:eastAsia="zh-CN"/>
        </w:rPr>
      </w:pPr>
    </w:p>
    <w:p/>
    <w:p/>
    <w:p/>
    <w:p/>
    <w:p/>
    <w:p>
      <w:pPr>
        <w:widowControl/>
        <w:jc w:val="left"/>
        <w:rPr>
          <w:rFonts w:eastAsia="黑体"/>
          <w:color w:val="000000"/>
          <w:sz w:val="32"/>
          <w:szCs w:val="32"/>
        </w:rPr>
      </w:pPr>
      <w:r>
        <w:rPr>
          <w:rFonts w:hAnsi="黑体" w:eastAsia="黑体"/>
          <w:color w:val="000000"/>
          <w:sz w:val="32"/>
          <w:szCs w:val="32"/>
        </w:rPr>
        <w:t>附件</w:t>
      </w:r>
      <w:r>
        <w:rPr>
          <w:rFonts w:eastAsia="黑体"/>
          <w:color w:val="000000"/>
          <w:sz w:val="32"/>
          <w:szCs w:val="32"/>
        </w:rPr>
        <w:t>2-1</w:t>
      </w:r>
    </w:p>
    <w:p>
      <w:pPr>
        <w:widowControl/>
        <w:spacing w:after="156" w:afterLines="50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参加绩效评价的省工程中心名单</w:t>
      </w:r>
    </w:p>
    <w:tbl>
      <w:tblPr>
        <w:tblStyle w:val="5"/>
        <w:tblW w:w="9080" w:type="dxa"/>
        <w:jc w:val="center"/>
        <w:tblInd w:w="-7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3218"/>
        <w:gridCol w:w="2699"/>
        <w:gridCol w:w="1225"/>
        <w:gridCol w:w="12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712" w:type="dxa"/>
            <w:shd w:val="clear" w:color="auto" w:fill="auto"/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ascii="Times New Roman" w:hAnsi="宋体" w:cs="Times New Roman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218" w:type="dxa"/>
            <w:shd w:val="clear" w:color="auto" w:fill="auto"/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ascii="Times New Roman" w:hAnsi="宋体" w:cs="Times New Roman"/>
                <w:b/>
                <w:bCs/>
                <w:kern w:val="0"/>
                <w:szCs w:val="21"/>
              </w:rPr>
              <w:t>工程中心名称</w:t>
            </w:r>
          </w:p>
        </w:tc>
        <w:tc>
          <w:tcPr>
            <w:tcW w:w="2699" w:type="dxa"/>
            <w:shd w:val="clear" w:color="auto" w:fill="auto"/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ascii="Times New Roman" w:hAnsi="宋体" w:cs="Times New Roman"/>
                <w:b/>
                <w:bCs/>
                <w:kern w:val="0"/>
                <w:szCs w:val="21"/>
              </w:rPr>
              <w:t>依托单位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宋体" w:cs="Times New Roman"/>
                <w:b/>
                <w:bCs/>
                <w:kern w:val="0"/>
                <w:szCs w:val="21"/>
                <w:lang w:eastAsia="zh-CN"/>
              </w:rPr>
              <w:t>组建年份</w:t>
            </w:r>
          </w:p>
        </w:tc>
        <w:tc>
          <w:tcPr>
            <w:tcW w:w="1226" w:type="dxa"/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Times New Roman" w:hAnsi="宋体" w:eastAsia="宋体" w:cs="Times New Roman"/>
                <w:b/>
                <w:bCs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宋体" w:cs="Times New Roman"/>
                <w:b/>
                <w:bCs/>
                <w:kern w:val="0"/>
                <w:szCs w:val="21"/>
                <w:lang w:eastAsia="zh-CN"/>
              </w:rPr>
              <w:t>所在区域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712" w:type="dxa"/>
            <w:shd w:val="clear" w:color="auto" w:fill="auto"/>
            <w:noWrap w:val="0"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spacing w:line="240" w:lineRule="exact"/>
              <w:ind w:firstLineChars="0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3218" w:type="dxa"/>
            <w:shd w:val="clear" w:color="auto" w:fill="auto"/>
            <w:noWrap w:val="0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安徽省矿井勘探工程技术研究中心</w:t>
            </w:r>
          </w:p>
        </w:tc>
        <w:tc>
          <w:tcPr>
            <w:tcW w:w="2699" w:type="dxa"/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皖北煤电集团有限责任公司、宿州学院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2010</w:t>
            </w:r>
          </w:p>
        </w:tc>
        <w:tc>
          <w:tcPr>
            <w:tcW w:w="1226" w:type="dxa"/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市直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712" w:type="dxa"/>
            <w:shd w:val="clear" w:color="auto" w:fill="auto"/>
            <w:noWrap w:val="0"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spacing w:line="240" w:lineRule="exact"/>
              <w:ind w:firstLineChars="0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3218" w:type="dxa"/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安徽省微生物药物工程技术研究中心</w:t>
            </w:r>
          </w:p>
        </w:tc>
        <w:tc>
          <w:tcPr>
            <w:tcW w:w="2699" w:type="dxa"/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新宇药业股份有限公司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2010</w:t>
            </w:r>
          </w:p>
        </w:tc>
        <w:tc>
          <w:tcPr>
            <w:tcW w:w="122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712" w:type="dxa"/>
            <w:shd w:val="clear" w:color="auto" w:fill="auto"/>
            <w:noWrap w:val="0"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spacing w:line="240" w:lineRule="exact"/>
              <w:ind w:firstLineChars="0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3218" w:type="dxa"/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安徽省设施蔬菜工程技术研究中心</w:t>
            </w:r>
          </w:p>
        </w:tc>
        <w:tc>
          <w:tcPr>
            <w:tcW w:w="2699" w:type="dxa"/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宿州市农业科学院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2010</w:t>
            </w:r>
          </w:p>
        </w:tc>
        <w:tc>
          <w:tcPr>
            <w:tcW w:w="122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市直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712" w:type="dxa"/>
            <w:shd w:val="clear" w:color="auto" w:fill="auto"/>
            <w:noWrap w:val="0"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spacing w:line="240" w:lineRule="exact"/>
              <w:ind w:firstLineChars="0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3218" w:type="dxa"/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安徽省果蔬加工工程技术研究中心</w:t>
            </w:r>
          </w:p>
        </w:tc>
        <w:tc>
          <w:tcPr>
            <w:tcW w:w="2699" w:type="dxa"/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熙可食品（安徽）有限公司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2009</w:t>
            </w:r>
          </w:p>
        </w:tc>
        <w:tc>
          <w:tcPr>
            <w:tcW w:w="122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砀山县</w:t>
            </w:r>
          </w:p>
        </w:tc>
      </w:tr>
    </w:tbl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</w:rPr>
        <w:t>附件2-2</w:t>
      </w:r>
    </w:p>
    <w:p>
      <w:pPr>
        <w:widowControl/>
        <w:spacing w:line="600" w:lineRule="exact"/>
        <w:jc w:val="left"/>
        <w:rPr>
          <w:rFonts w:eastAsia="黑体"/>
          <w:color w:val="000000"/>
          <w:sz w:val="32"/>
          <w:szCs w:val="32"/>
        </w:rPr>
      </w:pPr>
    </w:p>
    <w:p>
      <w:pPr>
        <w:pStyle w:val="4"/>
        <w:shd w:val="clear" w:color="auto" w:fill="FFFFFF"/>
        <w:tabs>
          <w:tab w:val="left" w:pos="709"/>
        </w:tabs>
        <w:spacing w:before="0" w:beforeAutospacing="0" w:after="0" w:afterAutospacing="0" w:line="600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  <w:r>
        <w:rPr>
          <w:rFonts w:ascii="Times New Roman" w:hAnsi="Times New Roman" w:eastAsia="方正小标宋_GBK"/>
          <w:bCs/>
          <w:sz w:val="44"/>
          <w:szCs w:val="44"/>
        </w:rPr>
        <w:t>省工程中心绩效评价工作总结报告提纲</w:t>
      </w:r>
    </w:p>
    <w:p>
      <w:pPr>
        <w:pStyle w:val="4"/>
        <w:shd w:val="clear" w:color="auto" w:fill="FFFFFF"/>
        <w:tabs>
          <w:tab w:val="left" w:pos="709"/>
        </w:tabs>
        <w:spacing w:before="0" w:beforeAutospacing="0" w:after="0" w:afterAutospacing="0" w:line="600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</w:p>
    <w:p>
      <w:pPr>
        <w:snapToGrid w:val="0"/>
        <w:spacing w:line="600" w:lineRule="exact"/>
        <w:ind w:firstLine="640" w:firstLineChars="200"/>
        <w:rPr>
          <w:rFonts w:eastAsia="黑体"/>
          <w:bCs/>
          <w:sz w:val="32"/>
          <w:szCs w:val="32"/>
        </w:rPr>
      </w:pPr>
      <w:r>
        <w:rPr>
          <w:rFonts w:eastAsia="黑体"/>
          <w:bCs/>
          <w:sz w:val="32"/>
          <w:szCs w:val="32"/>
        </w:rPr>
        <w:t>一、概况(不超过300字)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(注明工程中心所属技术领域。)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近三年运行情况、取得的关键共性技术突破、重大战略产品开发等综述。</w:t>
      </w:r>
    </w:p>
    <w:p>
      <w:pPr>
        <w:snapToGrid w:val="0"/>
        <w:spacing w:line="600" w:lineRule="exact"/>
        <w:ind w:firstLine="640" w:firstLineChars="200"/>
        <w:rPr>
          <w:rFonts w:eastAsia="黑体"/>
          <w:bCs/>
          <w:sz w:val="32"/>
          <w:szCs w:val="32"/>
        </w:rPr>
      </w:pPr>
      <w:r>
        <w:rPr>
          <w:rFonts w:eastAsia="黑体"/>
          <w:bCs/>
          <w:sz w:val="32"/>
          <w:szCs w:val="32"/>
        </w:rPr>
        <w:t>二、科技创新投入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1. 中心建设投入、研发经费投入情况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2. 新添置的仪器设备台(套)数及设备投资情况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3. 创新人才队伍建设情况(引进和培养人才等)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4. 自主研发和承担科技计划项目情况</w:t>
      </w:r>
    </w:p>
    <w:p>
      <w:pPr>
        <w:snapToGrid w:val="0"/>
        <w:spacing w:line="600" w:lineRule="exact"/>
        <w:ind w:firstLine="640" w:firstLineChars="200"/>
        <w:rPr>
          <w:rFonts w:eastAsia="黑体"/>
          <w:bCs/>
          <w:sz w:val="32"/>
          <w:szCs w:val="32"/>
        </w:rPr>
      </w:pPr>
      <w:r>
        <w:rPr>
          <w:rFonts w:eastAsia="黑体"/>
          <w:bCs/>
          <w:sz w:val="32"/>
          <w:szCs w:val="32"/>
        </w:rPr>
        <w:t>三、中心自身发展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1. 知识产权申请与授权情况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2. 开发新产品、新工艺和新材料(设备)情况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3. 制定技术标准情况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4．获省以上科技进步或行业奖励情况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5. 科技成果转化、推广及新增效益情况</w:t>
      </w:r>
    </w:p>
    <w:p>
      <w:pPr>
        <w:snapToGrid w:val="0"/>
        <w:spacing w:line="600" w:lineRule="exact"/>
        <w:ind w:firstLine="640" w:firstLineChars="200"/>
        <w:rPr>
          <w:rFonts w:eastAsia="黑体"/>
          <w:bCs/>
          <w:sz w:val="32"/>
          <w:szCs w:val="32"/>
        </w:rPr>
      </w:pPr>
      <w:r>
        <w:rPr>
          <w:rFonts w:eastAsia="黑体"/>
          <w:bCs/>
          <w:sz w:val="32"/>
          <w:szCs w:val="32"/>
        </w:rPr>
        <w:t>四、中心对外服务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1. 承办、参加学术会议、技术委员会、科技成果推广会议等情况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2. 开展对外合作研究及工程化情况、对产业技术创新带动作用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3. 提供产品检测、技术转让、技术服务等情况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4. 为企事业单位和行业培训人员情况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5. 开放共享仪器设备、实 (试)验室或生产线情况</w:t>
      </w:r>
    </w:p>
    <w:p>
      <w:pPr>
        <w:snapToGrid w:val="0"/>
        <w:spacing w:line="600" w:lineRule="exact"/>
        <w:ind w:firstLine="640" w:firstLineChars="200"/>
        <w:rPr>
          <w:rFonts w:eastAsia="黑体"/>
          <w:bCs/>
          <w:sz w:val="32"/>
          <w:szCs w:val="32"/>
        </w:rPr>
      </w:pPr>
      <w:r>
        <w:rPr>
          <w:rFonts w:eastAsia="黑体"/>
          <w:bCs/>
          <w:sz w:val="32"/>
          <w:szCs w:val="32"/>
        </w:rPr>
        <w:t>五、规范管理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日常管理、科研及经费制度建设及运行机制创新等情况。</w:t>
      </w:r>
    </w:p>
    <w:p>
      <w:pPr>
        <w:snapToGrid w:val="0"/>
        <w:spacing w:line="600" w:lineRule="exact"/>
        <w:ind w:firstLine="640" w:firstLineChars="200"/>
        <w:rPr>
          <w:rFonts w:eastAsia="黑体"/>
          <w:bCs/>
          <w:sz w:val="32"/>
          <w:szCs w:val="32"/>
        </w:rPr>
      </w:pPr>
      <w:r>
        <w:rPr>
          <w:rFonts w:eastAsia="黑体"/>
          <w:bCs/>
          <w:sz w:val="32"/>
          <w:szCs w:val="32"/>
        </w:rPr>
        <w:t>六、典型案例</w:t>
      </w:r>
    </w:p>
    <w:p>
      <w:pPr>
        <w:snapToGrid w:val="0"/>
        <w:spacing w:line="60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（选择3-5项代表性成果进行描述。主要内容包括：技术成果名称、关键技术及水平；技术成果工程化、产业化模式等；成果转化的经济效益以及对行业技术发展和竞争能力提升作用）。</w:t>
      </w:r>
    </w:p>
    <w:p>
      <w:pPr>
        <w:snapToGrid w:val="0"/>
        <w:spacing w:line="600" w:lineRule="exact"/>
        <w:ind w:firstLine="640" w:firstLineChars="200"/>
        <w:rPr>
          <w:rFonts w:eastAsia="黑体"/>
          <w:bCs/>
          <w:sz w:val="32"/>
          <w:szCs w:val="32"/>
        </w:rPr>
      </w:pPr>
      <w:r>
        <w:rPr>
          <w:rFonts w:eastAsia="黑体"/>
          <w:bCs/>
          <w:sz w:val="32"/>
          <w:szCs w:val="32"/>
        </w:rPr>
        <w:t>七、未来发展展望</w:t>
      </w:r>
    </w:p>
    <w:p>
      <w:pPr>
        <w:widowControl/>
        <w:jc w:val="left"/>
        <w:rPr>
          <w:rFonts w:eastAsia="仿宋"/>
          <w:color w:val="000000"/>
          <w:kern w:val="0"/>
          <w:sz w:val="32"/>
          <w:szCs w:val="32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钟齐陈伟勋硬笔行书字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23894"/>
    <w:multiLevelType w:val="multilevel"/>
    <w:tmpl w:val="78923894"/>
    <w:lvl w:ilvl="0" w:tentative="0">
      <w:start w:val="1"/>
      <w:numFmt w:val="decimal"/>
      <w:lvlText w:val="%1"/>
      <w:lvlJc w:val="left"/>
      <w:pPr>
        <w:ind w:left="562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C9079A"/>
    <w:rsid w:val="27A53B21"/>
    <w:rsid w:val="2B676670"/>
    <w:rsid w:val="2D1200A4"/>
    <w:rsid w:val="3069543C"/>
    <w:rsid w:val="33F04BEB"/>
    <w:rsid w:val="39A639DD"/>
    <w:rsid w:val="3BB86AE4"/>
    <w:rsid w:val="607E51A3"/>
    <w:rsid w:val="63C9079A"/>
    <w:rsid w:val="70932A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page number"/>
    <w:basedOn w:val="6"/>
    <w:uiPriority w:val="0"/>
  </w:style>
  <w:style w:type="character" w:styleId="8">
    <w:name w:val="Hyperlink"/>
    <w:basedOn w:val="6"/>
    <w:uiPriority w:val="0"/>
    <w:rPr>
      <w:color w:val="0000FF"/>
      <w:u w:val="single"/>
    </w:rPr>
  </w:style>
  <w:style w:type="paragraph" w:styleId="9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199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2019-06-05T02:36:00Z</dcterms:created>
  <dc:creator>红尘过客</dc:creator>
  <cp:lastModifiedBy>红尘过客</cp:lastModifiedBy>
  <cp:lastPrinted>2019-06-05T09:09:34Z</cp:lastPrinted>
  <dcterms:modified xsi:type="dcterms:W3CDTF">2019-06-05T09:12:15Z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